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EB" w:rsidRPr="009949EB" w:rsidRDefault="009949EB" w:rsidP="009949EB">
      <w:pPr>
        <w:spacing w:line="360" w:lineRule="auto"/>
        <w:jc w:val="center"/>
        <w:rPr>
          <w:rFonts w:ascii="黑体" w:eastAsia="黑体" w:hAnsi="黑体"/>
          <w:sz w:val="28"/>
          <w:szCs w:val="28"/>
        </w:rPr>
      </w:pPr>
      <w:bookmarkStart w:id="0" w:name="_GoBack"/>
      <w:r w:rsidRPr="009949EB">
        <w:rPr>
          <w:rFonts w:ascii="黑体" w:eastAsia="黑体" w:hAnsi="黑体" w:hint="eastAsia"/>
          <w:sz w:val="28"/>
          <w:szCs w:val="28"/>
        </w:rPr>
        <w:t>关于征集“未来工业互联网基础理论与关键技术”重大研究计划</w:t>
      </w:r>
      <w:r w:rsidRPr="009949EB">
        <w:rPr>
          <w:rFonts w:ascii="黑体" w:eastAsia="黑体" w:hAnsi="黑体"/>
          <w:sz w:val="28"/>
          <w:szCs w:val="28"/>
        </w:rPr>
        <w:t>2022年度项目指南建议的通知</w:t>
      </w:r>
    </w:p>
    <w:bookmarkEnd w:id="0"/>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未来工业互联网是新一代信息通信网络技术与工业制造深度融合的全新工业生态、关键基础设施和新型应用模式，通过人机物的安全可靠智联，实现生产全要素、全产业链、</w:t>
      </w:r>
      <w:proofErr w:type="gramStart"/>
      <w:r w:rsidRPr="009949EB">
        <w:rPr>
          <w:rFonts w:ascii="宋体" w:eastAsia="宋体" w:hAnsi="宋体" w:hint="eastAsia"/>
          <w:sz w:val="24"/>
          <w:szCs w:val="24"/>
        </w:rPr>
        <w:t>全价值</w:t>
      </w:r>
      <w:proofErr w:type="gramEnd"/>
      <w:r w:rsidRPr="009949EB">
        <w:rPr>
          <w:rFonts w:ascii="宋体" w:eastAsia="宋体" w:hAnsi="宋体" w:hint="eastAsia"/>
          <w:sz w:val="24"/>
          <w:szCs w:val="24"/>
        </w:rPr>
        <w:t>链的全面连接，推动制造业生产方式和企业形态根本性变革，形成全新的工业生产制造和服务体系，显著提升制造业数字化、网络化、智能化发展水平。</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proofErr w:type="gramStart"/>
      <w:r w:rsidRPr="009949EB">
        <w:rPr>
          <w:rFonts w:ascii="宋体" w:eastAsia="宋体" w:hAnsi="宋体" w:hint="eastAsia"/>
          <w:sz w:val="24"/>
          <w:szCs w:val="24"/>
        </w:rPr>
        <w:t>本重大</w:t>
      </w:r>
      <w:proofErr w:type="gramEnd"/>
      <w:r w:rsidRPr="009949EB">
        <w:rPr>
          <w:rFonts w:ascii="宋体" w:eastAsia="宋体" w:hAnsi="宋体" w:hint="eastAsia"/>
          <w:sz w:val="24"/>
          <w:szCs w:val="24"/>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为进一步做好“未来工业互联网基础理论与关键技术”重大研究计划的项目立项和资助工作，经</w:t>
      </w:r>
      <w:proofErr w:type="gramStart"/>
      <w:r w:rsidRPr="009949EB">
        <w:rPr>
          <w:rFonts w:ascii="宋体" w:eastAsia="宋体" w:hAnsi="宋体" w:hint="eastAsia"/>
          <w:sz w:val="24"/>
          <w:szCs w:val="24"/>
        </w:rPr>
        <w:t>本重大</w:t>
      </w:r>
      <w:proofErr w:type="gramEnd"/>
      <w:r w:rsidRPr="009949EB">
        <w:rPr>
          <w:rFonts w:ascii="宋体" w:eastAsia="宋体" w:hAnsi="宋体" w:hint="eastAsia"/>
          <w:sz w:val="24"/>
          <w:szCs w:val="24"/>
        </w:rPr>
        <w:t>研究计划指导专家组和管理工作组会议讨论决定，面向科技界征集</w:t>
      </w:r>
      <w:r w:rsidRPr="009949EB">
        <w:rPr>
          <w:rFonts w:ascii="宋体" w:eastAsia="宋体" w:hAnsi="宋体"/>
          <w:sz w:val="24"/>
          <w:szCs w:val="24"/>
        </w:rPr>
        <w:t>2022年度项目指南建议。</w:t>
      </w:r>
    </w:p>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一、科学目标</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二、核心科学问题</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proofErr w:type="gramStart"/>
      <w:r w:rsidRPr="009949EB">
        <w:rPr>
          <w:rFonts w:ascii="宋体" w:eastAsia="宋体" w:hAnsi="宋体" w:hint="eastAsia"/>
          <w:sz w:val="24"/>
          <w:szCs w:val="24"/>
        </w:rPr>
        <w:t>本重大</w:t>
      </w:r>
      <w:proofErr w:type="gramEnd"/>
      <w:r w:rsidRPr="009949EB">
        <w:rPr>
          <w:rFonts w:ascii="宋体" w:eastAsia="宋体" w:hAnsi="宋体" w:hint="eastAsia"/>
          <w:sz w:val="24"/>
          <w:szCs w:val="24"/>
        </w:rPr>
        <w:t>研究计划针对未来工业互联网生产要素互联的时空关系演变及调控规律这一核心问题，围绕以下三个科学问题展开研究：</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（一）全要素互联的结构化组织机理。</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针对未来工业互联网人机物全要素安全可靠互联的系统复杂性难题，重点解</w:t>
      </w:r>
      <w:r w:rsidRPr="009949EB">
        <w:rPr>
          <w:rFonts w:ascii="宋体" w:eastAsia="宋体" w:hAnsi="宋体" w:hint="eastAsia"/>
          <w:sz w:val="24"/>
          <w:szCs w:val="24"/>
        </w:rPr>
        <w:lastRenderedPageBreak/>
        <w:t>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sidRPr="009949EB">
        <w:rPr>
          <w:rFonts w:ascii="宋体" w:eastAsia="宋体" w:hAnsi="宋体" w:hint="eastAsia"/>
          <w:sz w:val="24"/>
          <w:szCs w:val="24"/>
        </w:rPr>
        <w:t>熵</w:t>
      </w:r>
      <w:proofErr w:type="gramEnd"/>
      <w:r w:rsidRPr="009949EB">
        <w:rPr>
          <w:rFonts w:ascii="宋体" w:eastAsia="宋体" w:hAnsi="宋体" w:hint="eastAsia"/>
          <w:sz w:val="24"/>
          <w:szCs w:val="24"/>
        </w:rPr>
        <w:t>理论。</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（二）生产制造流程的柔性构造理论与方法。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（三）产业链与价值链的网络化调控原理。</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针对未来工业互联网生产制造的全产业链、</w:t>
      </w:r>
      <w:proofErr w:type="gramStart"/>
      <w:r w:rsidRPr="009949EB">
        <w:rPr>
          <w:rFonts w:ascii="宋体" w:eastAsia="宋体" w:hAnsi="宋体" w:hint="eastAsia"/>
          <w:sz w:val="24"/>
          <w:szCs w:val="24"/>
        </w:rPr>
        <w:t>全价值</w:t>
      </w:r>
      <w:proofErr w:type="gramEnd"/>
      <w:r w:rsidRPr="009949EB">
        <w:rPr>
          <w:rFonts w:ascii="宋体" w:eastAsia="宋体" w:hAnsi="宋体" w:hint="eastAsia"/>
          <w:sz w:val="24"/>
          <w:szCs w:val="24"/>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sidRPr="009949EB">
        <w:rPr>
          <w:rFonts w:ascii="宋体" w:eastAsia="宋体" w:hAnsi="宋体" w:hint="eastAsia"/>
          <w:sz w:val="24"/>
          <w:szCs w:val="24"/>
        </w:rPr>
        <w:t>全价值</w:t>
      </w:r>
      <w:proofErr w:type="gramEnd"/>
      <w:r w:rsidRPr="009949EB">
        <w:rPr>
          <w:rFonts w:ascii="宋体" w:eastAsia="宋体" w:hAnsi="宋体" w:hint="eastAsia"/>
          <w:sz w:val="24"/>
          <w:szCs w:val="24"/>
        </w:rPr>
        <w:t>链构建模型、</w:t>
      </w:r>
      <w:proofErr w:type="gramStart"/>
      <w:r w:rsidRPr="009949EB">
        <w:rPr>
          <w:rFonts w:ascii="宋体" w:eastAsia="宋体" w:hAnsi="宋体" w:hint="eastAsia"/>
          <w:sz w:val="24"/>
          <w:szCs w:val="24"/>
        </w:rPr>
        <w:t>跨链耦合</w:t>
      </w:r>
      <w:proofErr w:type="gramEnd"/>
      <w:r w:rsidRPr="009949EB">
        <w:rPr>
          <w:rFonts w:ascii="宋体" w:eastAsia="宋体" w:hAnsi="宋体" w:hint="eastAsia"/>
          <w:sz w:val="24"/>
          <w:szCs w:val="24"/>
        </w:rPr>
        <w:t>的网络化调控原理。</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三、指南建议书主要内容</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根据《国家自然科学基金重大研究计划管理办法》，重大研究计划项目包括培育项目、重点支持项目、集成项目和战略研究项目</w:t>
      </w:r>
      <w:r w:rsidRPr="009949EB">
        <w:rPr>
          <w:rFonts w:ascii="宋体" w:eastAsia="宋体" w:hAnsi="宋体"/>
          <w:sz w:val="24"/>
          <w:szCs w:val="24"/>
        </w:rPr>
        <w:t>4个亚类，本次指南建议征集主要针对2022年度的培育项目和重点支持项目2个亚类，其中：</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（一）培育项目是指符合重大研究计划的研究目标和资助范围，创新性明显，尚需在研究中进一步明确突破方向和凝聚研究力量的项目。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（二）重点支持项目是指研究方向属于国际前沿，创新性强，有很好的研究基础和研究队伍，有望取得重要研究成果，并且对重大研究计划目标的完成有重要作用的项目。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除信息科学部外，</w:t>
      </w:r>
      <w:proofErr w:type="gramStart"/>
      <w:r w:rsidRPr="009949EB">
        <w:rPr>
          <w:rFonts w:ascii="宋体" w:eastAsia="宋体" w:hAnsi="宋体" w:hint="eastAsia"/>
          <w:sz w:val="24"/>
          <w:szCs w:val="24"/>
        </w:rPr>
        <w:t>本重大</w:t>
      </w:r>
      <w:proofErr w:type="gramEnd"/>
      <w:r w:rsidRPr="009949EB">
        <w:rPr>
          <w:rFonts w:ascii="宋体" w:eastAsia="宋体" w:hAnsi="宋体" w:hint="eastAsia"/>
          <w:sz w:val="24"/>
          <w:szCs w:val="24"/>
        </w:rPr>
        <w:t>研究计划还涉及数理科学部、工程与材料科学部以及管理科学部，欢迎上述领域从事工业互联网相关研究人员积极提出指南建议，鼓励学科交叉。要求指南建议中体现科学前沿与重大需求相结合，针对场景落地的重大瓶颈问题或痛点问题展开基础研究。</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指南建议书主要内容包括：</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lastRenderedPageBreak/>
        <w:t xml:space="preserve">　　（一）对解决</w:t>
      </w:r>
      <w:proofErr w:type="gramStart"/>
      <w:r w:rsidRPr="009949EB">
        <w:rPr>
          <w:rFonts w:ascii="宋体" w:eastAsia="宋体" w:hAnsi="宋体" w:hint="eastAsia"/>
          <w:sz w:val="24"/>
          <w:szCs w:val="24"/>
        </w:rPr>
        <w:t>本重大</w:t>
      </w:r>
      <w:proofErr w:type="gramEnd"/>
      <w:r w:rsidRPr="009949EB">
        <w:rPr>
          <w:rFonts w:ascii="宋体" w:eastAsia="宋体" w:hAnsi="宋体" w:hint="eastAsia"/>
          <w:sz w:val="24"/>
          <w:szCs w:val="24"/>
        </w:rPr>
        <w:t>研究计划核心科学问题、实现总体目标的贡献。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（二）围绕解决核心科学问题拟开展的主要研究内容。</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（三）预期可能取得的突破性进展及其可行性论证。</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（四）建议资助项目亚类说明。</w:t>
      </w:r>
    </w:p>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四、</w:t>
      </w:r>
      <w:r w:rsidRPr="009949EB">
        <w:rPr>
          <w:rFonts w:ascii="宋体" w:eastAsia="宋体" w:hAnsi="宋体"/>
          <w:sz w:val="24"/>
          <w:szCs w:val="24"/>
        </w:rPr>
        <w:t xml:space="preserve"> 2021年已发布指南方向（https://www.nsfc.gov.cn/publish/portal0/tab442/info81562.htm）</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（一）培育项目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1. 基于系统熵的工业互联网拓扑演化机理与相关数学方法。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2. 面向工业互联网复杂要素的多</w:t>
      </w:r>
      <w:proofErr w:type="gramStart"/>
      <w:r w:rsidRPr="009949EB">
        <w:rPr>
          <w:rFonts w:ascii="宋体" w:eastAsia="宋体" w:hAnsi="宋体"/>
          <w:sz w:val="24"/>
          <w:szCs w:val="24"/>
        </w:rPr>
        <w:t>源特征</w:t>
      </w:r>
      <w:proofErr w:type="gramEnd"/>
      <w:r w:rsidRPr="009949EB">
        <w:rPr>
          <w:rFonts w:ascii="宋体" w:eastAsia="宋体" w:hAnsi="宋体"/>
          <w:sz w:val="24"/>
          <w:szCs w:val="24"/>
        </w:rPr>
        <w:t>融合表征方法与组织推理。</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3. 多工序复杂耦合定制化生产过程的误差传播机理与在线容差分析。</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4. 工业互联网高精度时延抖动控制理论与方法。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5. 智能制造软件与协议的安全检测理论及评估方法。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6. 面向工业互联网数据安全的高精度异常检测理论与溯源方法。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（二）重点支持项目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1. 面向多场景端到端性能可控的新型工业互联网体系架构。</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2. 工业互联网</w:t>
      </w:r>
      <w:proofErr w:type="gramStart"/>
      <w:r w:rsidRPr="009949EB">
        <w:rPr>
          <w:rFonts w:ascii="宋体" w:eastAsia="宋体" w:hAnsi="宋体"/>
          <w:sz w:val="24"/>
          <w:szCs w:val="24"/>
        </w:rPr>
        <w:t>边缘侧轻量化</w:t>
      </w:r>
      <w:proofErr w:type="gramEnd"/>
      <w:r w:rsidRPr="009949EB">
        <w:rPr>
          <w:rFonts w:ascii="宋体" w:eastAsia="宋体" w:hAnsi="宋体"/>
          <w:sz w:val="24"/>
          <w:szCs w:val="24"/>
        </w:rPr>
        <w:t>可信智能安全系统理论与方法。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3. 面向制造模式变革的工业互联网柔性构造与智能调。</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4. 智慧车间复杂传播环境</w:t>
      </w:r>
      <w:proofErr w:type="gramStart"/>
      <w:r w:rsidRPr="009949EB">
        <w:rPr>
          <w:rFonts w:ascii="宋体" w:eastAsia="宋体" w:hAnsi="宋体"/>
          <w:sz w:val="24"/>
          <w:szCs w:val="24"/>
        </w:rPr>
        <w:t>适变理论</w:t>
      </w:r>
      <w:proofErr w:type="gramEnd"/>
      <w:r w:rsidRPr="009949EB">
        <w:rPr>
          <w:rFonts w:ascii="宋体" w:eastAsia="宋体" w:hAnsi="宋体"/>
          <w:sz w:val="24"/>
          <w:szCs w:val="24"/>
        </w:rPr>
        <w:t>与重构机制。</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5. 面向工业互联网的轻量化软件体系架构。</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6. 面向智能制造价值链的生产自组织协同机理与管理方法。</w:t>
      </w:r>
    </w:p>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五、</w:t>
      </w:r>
      <w:r w:rsidRPr="009949EB">
        <w:rPr>
          <w:rFonts w:ascii="宋体" w:eastAsia="宋体" w:hAnsi="宋体"/>
          <w:sz w:val="24"/>
          <w:szCs w:val="24"/>
        </w:rPr>
        <w:t xml:space="preserve"> 2020年已发布指南方向（http://www.nsfc.gov.cn/publish/portal0/tab568/info79020.htm）</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（一）培育项目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1. 生产要素多维数据表征方法与结构化组织机理。</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2. 网络化全流程制造的容差分析与传播模型。</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3. 面向制造过程的安全可靠互联理论与方法。</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4. 面向工业互联网复杂系统的拓扑几何结构理论</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lastRenderedPageBreak/>
        <w:t xml:space="preserve">　　（二）重点支持项目</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1. 按需联接的工业互联网新型体系架构与信息模型。</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2. 基于语义驱动的工业互联网</w:t>
      </w:r>
      <w:proofErr w:type="gramStart"/>
      <w:r w:rsidRPr="009949EB">
        <w:rPr>
          <w:rFonts w:ascii="宋体" w:eastAsia="宋体" w:hAnsi="宋体"/>
          <w:sz w:val="24"/>
          <w:szCs w:val="24"/>
        </w:rPr>
        <w:t>原生智简组织理论</w:t>
      </w:r>
      <w:proofErr w:type="gramEnd"/>
      <w:r w:rsidRPr="009949EB">
        <w:rPr>
          <w:rFonts w:ascii="宋体" w:eastAsia="宋体" w:hAnsi="宋体"/>
          <w:sz w:val="24"/>
          <w:szCs w:val="24"/>
        </w:rPr>
        <w:t>。</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3. 工业互联网人机物全要素协同机理。</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w:t>
      </w:r>
      <w:r w:rsidRPr="009949EB">
        <w:rPr>
          <w:rFonts w:ascii="宋体" w:eastAsia="宋体" w:hAnsi="宋体"/>
          <w:sz w:val="24"/>
          <w:szCs w:val="24"/>
        </w:rPr>
        <w:t>4. 复杂场景精准作业的跨域协同与实时控制。</w:t>
      </w:r>
    </w:p>
    <w:p w:rsidR="009949EB" w:rsidRDefault="009949EB" w:rsidP="009949EB">
      <w:pPr>
        <w:spacing w:line="360" w:lineRule="auto"/>
        <w:ind w:firstLine="480"/>
        <w:rPr>
          <w:rFonts w:ascii="宋体" w:eastAsia="宋体" w:hAnsi="宋体"/>
          <w:sz w:val="24"/>
          <w:szCs w:val="24"/>
        </w:rPr>
      </w:pPr>
      <w:r w:rsidRPr="009949EB">
        <w:rPr>
          <w:rFonts w:ascii="宋体" w:eastAsia="宋体" w:hAnsi="宋体"/>
          <w:sz w:val="24"/>
          <w:szCs w:val="24"/>
        </w:rPr>
        <w:t>5. 工业制造系统的跨时空多粒度制造资源配置与调控理论。</w:t>
      </w:r>
    </w:p>
    <w:p w:rsidR="009949EB" w:rsidRDefault="009949EB" w:rsidP="009949EB">
      <w:pPr>
        <w:spacing w:line="360" w:lineRule="auto"/>
        <w:ind w:firstLine="480"/>
        <w:rPr>
          <w:rFonts w:ascii="宋体" w:eastAsia="宋体" w:hAnsi="宋体"/>
          <w:sz w:val="24"/>
          <w:szCs w:val="24"/>
        </w:rPr>
      </w:pPr>
    </w:p>
    <w:p w:rsidR="009949EB" w:rsidRPr="009949EB" w:rsidRDefault="009949EB" w:rsidP="009949EB">
      <w:pPr>
        <w:spacing w:line="360" w:lineRule="auto"/>
        <w:ind w:firstLine="480"/>
        <w:rPr>
          <w:rFonts w:ascii="宋体" w:eastAsia="宋体" w:hAnsi="宋体"/>
          <w:sz w:val="24"/>
          <w:szCs w:val="24"/>
        </w:rPr>
      </w:pPr>
      <w:r w:rsidRPr="009949EB">
        <w:rPr>
          <w:rFonts w:ascii="宋体" w:eastAsia="宋体" w:hAnsi="宋体" w:hint="eastAsia"/>
          <w:sz w:val="24"/>
          <w:szCs w:val="24"/>
        </w:rPr>
        <w:t>六、指南建议书提交方式</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请于</w:t>
      </w:r>
      <w:r w:rsidRPr="009949EB">
        <w:rPr>
          <w:rFonts w:ascii="宋体" w:eastAsia="宋体" w:hAnsi="宋体"/>
          <w:sz w:val="24"/>
          <w:szCs w:val="24"/>
        </w:rPr>
        <w:t>2022年1月25日前通过Email将“指南建议书”电子版（word格式，模板详见附件）发至信息科学部联系人邮箱。</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联系人：吴国政</w:t>
      </w:r>
      <w:r w:rsidRPr="009949EB">
        <w:rPr>
          <w:rFonts w:ascii="宋体" w:eastAsia="宋体" w:hAnsi="宋体"/>
          <w:sz w:val="24"/>
          <w:szCs w:val="24"/>
        </w:rPr>
        <w:t xml:space="preserve">  王志衡</w:t>
      </w: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邮箱：</w:t>
      </w:r>
      <w:proofErr w:type="gramStart"/>
      <w:r w:rsidRPr="009949EB">
        <w:rPr>
          <w:rFonts w:ascii="宋体" w:eastAsia="宋体" w:hAnsi="宋体"/>
          <w:sz w:val="24"/>
          <w:szCs w:val="24"/>
        </w:rPr>
        <w:t>wugz@nsfc.gov.cn  wangzh@nsfc.gov.cn</w:t>
      </w:r>
      <w:proofErr w:type="gramEnd"/>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电话：</w:t>
      </w:r>
      <w:r w:rsidRPr="009949EB">
        <w:rPr>
          <w:rFonts w:ascii="宋体" w:eastAsia="宋体" w:hAnsi="宋体"/>
          <w:sz w:val="24"/>
          <w:szCs w:val="24"/>
        </w:rPr>
        <w:t>010-</w:t>
      </w:r>
      <w:proofErr w:type="gramStart"/>
      <w:r w:rsidRPr="009949EB">
        <w:rPr>
          <w:rFonts w:ascii="宋体" w:eastAsia="宋体" w:hAnsi="宋体"/>
          <w:sz w:val="24"/>
          <w:szCs w:val="24"/>
        </w:rPr>
        <w:t>62327929  010</w:t>
      </w:r>
      <w:proofErr w:type="gramEnd"/>
      <w:r w:rsidRPr="009949EB">
        <w:rPr>
          <w:rFonts w:ascii="宋体" w:eastAsia="宋体" w:hAnsi="宋体"/>
          <w:sz w:val="24"/>
          <w:szCs w:val="24"/>
        </w:rPr>
        <w:t>-62327149</w:t>
      </w:r>
    </w:p>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sz w:val="24"/>
          <w:szCs w:val="24"/>
        </w:rPr>
        <w:t xml:space="preserve"> </w:t>
      </w:r>
    </w:p>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hint="eastAsia"/>
          <w:sz w:val="24"/>
          <w:szCs w:val="24"/>
        </w:rPr>
        <w:t xml:space="preserve">　　附件：国家自然科学基金“未来工业互联网基础理论与关键技术”重要研究计划项目指南建议书</w:t>
      </w:r>
    </w:p>
    <w:p w:rsidR="009949EB" w:rsidRPr="009949EB" w:rsidRDefault="009949EB" w:rsidP="009949EB">
      <w:pPr>
        <w:spacing w:line="360" w:lineRule="auto"/>
        <w:rPr>
          <w:rFonts w:ascii="宋体" w:eastAsia="宋体" w:hAnsi="宋体"/>
          <w:sz w:val="24"/>
          <w:szCs w:val="24"/>
        </w:rPr>
      </w:pPr>
    </w:p>
    <w:p w:rsidR="009949EB" w:rsidRPr="009949EB" w:rsidRDefault="009949EB" w:rsidP="009949EB">
      <w:pPr>
        <w:spacing w:line="360" w:lineRule="auto"/>
        <w:rPr>
          <w:rFonts w:ascii="宋体" w:eastAsia="宋体" w:hAnsi="宋体"/>
          <w:sz w:val="24"/>
          <w:szCs w:val="24"/>
        </w:rPr>
      </w:pPr>
      <w:r w:rsidRPr="009949EB">
        <w:rPr>
          <w:rFonts w:ascii="宋体" w:eastAsia="宋体" w:hAnsi="宋体"/>
          <w:sz w:val="24"/>
          <w:szCs w:val="24"/>
        </w:rPr>
        <w:t xml:space="preserve"> </w:t>
      </w:r>
    </w:p>
    <w:p w:rsidR="009949EB" w:rsidRPr="009949EB" w:rsidRDefault="009949EB" w:rsidP="009949EB">
      <w:pPr>
        <w:spacing w:line="360" w:lineRule="auto"/>
        <w:jc w:val="right"/>
        <w:rPr>
          <w:rFonts w:ascii="宋体" w:eastAsia="宋体" w:hAnsi="宋体"/>
          <w:sz w:val="24"/>
          <w:szCs w:val="24"/>
        </w:rPr>
      </w:pPr>
    </w:p>
    <w:p w:rsidR="009949EB" w:rsidRPr="009949EB" w:rsidRDefault="009949EB" w:rsidP="009949EB">
      <w:pPr>
        <w:spacing w:line="360" w:lineRule="auto"/>
        <w:jc w:val="right"/>
        <w:rPr>
          <w:rFonts w:ascii="宋体" w:eastAsia="宋体" w:hAnsi="宋体"/>
          <w:sz w:val="24"/>
          <w:szCs w:val="24"/>
        </w:rPr>
      </w:pPr>
      <w:r w:rsidRPr="009949EB">
        <w:rPr>
          <w:rFonts w:ascii="宋体" w:eastAsia="宋体" w:hAnsi="宋体" w:hint="eastAsia"/>
          <w:sz w:val="24"/>
          <w:szCs w:val="24"/>
        </w:rPr>
        <w:t>国家自然科学基金委</w:t>
      </w:r>
    </w:p>
    <w:p w:rsidR="009949EB" w:rsidRPr="009949EB" w:rsidRDefault="009949EB" w:rsidP="009949EB">
      <w:pPr>
        <w:spacing w:line="360" w:lineRule="auto"/>
        <w:jc w:val="right"/>
        <w:rPr>
          <w:rFonts w:ascii="宋体" w:eastAsia="宋体" w:hAnsi="宋体"/>
          <w:sz w:val="24"/>
          <w:szCs w:val="24"/>
        </w:rPr>
      </w:pPr>
    </w:p>
    <w:p w:rsidR="009949EB" w:rsidRPr="009949EB" w:rsidRDefault="009949EB" w:rsidP="009949EB">
      <w:pPr>
        <w:spacing w:line="360" w:lineRule="auto"/>
        <w:jc w:val="right"/>
        <w:rPr>
          <w:rFonts w:ascii="宋体" w:eastAsia="宋体" w:hAnsi="宋体"/>
          <w:sz w:val="24"/>
          <w:szCs w:val="24"/>
        </w:rPr>
      </w:pPr>
      <w:r w:rsidRPr="009949EB">
        <w:rPr>
          <w:rFonts w:ascii="宋体" w:eastAsia="宋体" w:hAnsi="宋体" w:hint="eastAsia"/>
          <w:sz w:val="24"/>
          <w:szCs w:val="24"/>
        </w:rPr>
        <w:t>信息科学部</w:t>
      </w:r>
    </w:p>
    <w:p w:rsidR="009949EB" w:rsidRPr="009949EB" w:rsidRDefault="009949EB" w:rsidP="009949EB">
      <w:pPr>
        <w:spacing w:line="360" w:lineRule="auto"/>
        <w:jc w:val="right"/>
        <w:rPr>
          <w:rFonts w:ascii="宋体" w:eastAsia="宋体" w:hAnsi="宋体"/>
          <w:sz w:val="24"/>
          <w:szCs w:val="24"/>
        </w:rPr>
      </w:pPr>
    </w:p>
    <w:p w:rsidR="005A52A0" w:rsidRPr="009949EB" w:rsidRDefault="009949EB" w:rsidP="009949EB">
      <w:pPr>
        <w:spacing w:line="360" w:lineRule="auto"/>
        <w:jc w:val="right"/>
        <w:rPr>
          <w:rFonts w:ascii="宋体" w:eastAsia="宋体" w:hAnsi="宋体"/>
          <w:sz w:val="24"/>
          <w:szCs w:val="24"/>
        </w:rPr>
      </w:pPr>
      <w:r w:rsidRPr="009949EB">
        <w:rPr>
          <w:rFonts w:ascii="宋体" w:eastAsia="宋体" w:hAnsi="宋体"/>
          <w:sz w:val="24"/>
          <w:szCs w:val="24"/>
        </w:rPr>
        <w:t>2021年12月22日</w:t>
      </w:r>
    </w:p>
    <w:sectPr w:rsidR="005A52A0" w:rsidRPr="00994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EB"/>
    <w:rsid w:val="001D43CD"/>
    <w:rsid w:val="00620EE5"/>
    <w:rsid w:val="009949EB"/>
    <w:rsid w:val="00E0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D56F"/>
  <w15:chartTrackingRefBased/>
  <w15:docId w15:val="{0BB21D36-E444-4FB7-8F12-D67221AE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09649">
      <w:bodyDiv w:val="1"/>
      <w:marLeft w:val="0"/>
      <w:marRight w:val="0"/>
      <w:marTop w:val="0"/>
      <w:marBottom w:val="0"/>
      <w:divBdr>
        <w:top w:val="none" w:sz="0" w:space="0" w:color="auto"/>
        <w:left w:val="none" w:sz="0" w:space="0" w:color="auto"/>
        <w:bottom w:val="none" w:sz="0" w:space="0" w:color="auto"/>
        <w:right w:val="none" w:sz="0" w:space="0" w:color="auto"/>
      </w:divBdr>
      <w:divsChild>
        <w:div w:id="1346904092">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412</Words>
  <Characters>2351</Characters>
  <Application>Microsoft Office Word</Application>
  <DocSecurity>0</DocSecurity>
  <Lines>19</Lines>
  <Paragraphs>5</Paragraphs>
  <ScaleCrop>false</ScaleCrop>
  <Company>Lenovo</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2021-12-23T01:40:00Z</dcterms:created>
  <dcterms:modified xsi:type="dcterms:W3CDTF">2021-12-23T01:52:00Z</dcterms:modified>
</cp:coreProperties>
</file>