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B8" w:rsidRPr="00E34785" w:rsidRDefault="00E068B8" w:rsidP="00E34785">
      <w:pPr>
        <w:spacing w:line="360" w:lineRule="auto"/>
        <w:jc w:val="center"/>
        <w:rPr>
          <w:rFonts w:ascii="宋体" w:eastAsia="宋体" w:hAnsi="宋体"/>
          <w:b/>
          <w:sz w:val="24"/>
          <w:szCs w:val="24"/>
        </w:rPr>
      </w:pPr>
      <w:bookmarkStart w:id="0" w:name="_GoBack"/>
      <w:r w:rsidRPr="00E34785">
        <w:rPr>
          <w:rFonts w:ascii="宋体" w:eastAsia="宋体" w:hAnsi="宋体"/>
          <w:b/>
          <w:sz w:val="24"/>
          <w:szCs w:val="24"/>
        </w:rPr>
        <w:t>2022年度国家自然科学基金指南引导类原创探索计划项目</w:t>
      </w:r>
      <w:r w:rsidRPr="00E34785">
        <w:rPr>
          <w:rFonts w:ascii="宋体" w:eastAsia="宋体" w:hAnsi="宋体" w:hint="eastAsia"/>
          <w:b/>
          <w:sz w:val="24"/>
          <w:szCs w:val="24"/>
        </w:rPr>
        <w:t>——“碳中和对经济学的影响”项目指南</w:t>
      </w:r>
    </w:p>
    <w:bookmarkEnd w:id="0"/>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碳中和不仅涉及一场技术、产业、制度和政策等层面的系统性变革，而且给传统经济学对于人类文明新态势的适配性带来了基础性挑战。为贯彻落实党中央、国务院关于加强基础研究的重要战略部署，进一步提升原创能力，适应科学研究范式变革，发展基于中国实践的经济学原创基础理论，激励面向国家重大需求的引领性原创探索，国家自然科学基金委员会（以下简称自然科学基金委）</w:t>
      </w:r>
      <w:proofErr w:type="gramStart"/>
      <w:r w:rsidRPr="00E068B8">
        <w:rPr>
          <w:rFonts w:ascii="宋体" w:eastAsia="宋体" w:hAnsi="宋体" w:hint="eastAsia"/>
          <w:szCs w:val="21"/>
        </w:rPr>
        <w:t>管理科学部拟资助</w:t>
      </w:r>
      <w:proofErr w:type="gramEnd"/>
      <w:r w:rsidRPr="00E068B8">
        <w:rPr>
          <w:rFonts w:ascii="宋体" w:eastAsia="宋体" w:hAnsi="宋体" w:hint="eastAsia"/>
          <w:szCs w:val="21"/>
        </w:rPr>
        <w:t>“碳中和对经济学的影响”原创探索项目（以下简称原创项目）。本项目鼓励突破传统经济学理论，积极面对实现碳中和目标过程中不断涌现的推动经济学发展的关键科学问题，应对碳中和给经济学理论的基本假设、理论构建、实证分析和政策制定等带来的巨大挑战，探索和构建碳中和驱动的经济科学新理论、新方法和新范式，服务和推动我国经济高质量发展。</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一、科学目标</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探索低碳转型中生产函数重构对经济增长和经济结构演进动力机制的影响，探索以消费行为和需求偏好低碳转型为驱动的消费者效用函数变化和新消费理论，开展</w:t>
      </w:r>
      <w:proofErr w:type="gramStart"/>
      <w:r w:rsidRPr="00E068B8">
        <w:rPr>
          <w:rFonts w:ascii="宋体" w:eastAsia="宋体" w:hAnsi="宋体" w:hint="eastAsia"/>
          <w:szCs w:val="21"/>
        </w:rPr>
        <w:t>以碳排放权</w:t>
      </w:r>
      <w:proofErr w:type="gramEnd"/>
      <w:r w:rsidRPr="00E068B8">
        <w:rPr>
          <w:rFonts w:ascii="宋体" w:eastAsia="宋体" w:hAnsi="宋体" w:hint="eastAsia"/>
          <w:szCs w:val="21"/>
        </w:rPr>
        <w:t>为标的市场机制设计和定价理论研究，研究各种可能的相关政策对企业生产、居民消费方式、政府行为（作用）的影响，从而推动碳中和下经济科学前沿理论和研究范式的变革与发展。</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二、核心科学问题</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突破传统经济学理论方法和分析框架的局限，探索推进碳中和进程中一系列经济学基础假设变化，驱动理论创新和范式突破。本项目以碳中和下生产函数与消费者效用函数变化和有效的</w:t>
      </w:r>
      <w:proofErr w:type="gramStart"/>
      <w:r w:rsidRPr="00E068B8">
        <w:rPr>
          <w:rFonts w:ascii="宋体" w:eastAsia="宋体" w:hAnsi="宋体" w:hint="eastAsia"/>
          <w:szCs w:val="21"/>
        </w:rPr>
        <w:t>碳市场</w:t>
      </w:r>
      <w:proofErr w:type="gramEnd"/>
      <w:r w:rsidRPr="00E068B8">
        <w:rPr>
          <w:rFonts w:ascii="宋体" w:eastAsia="宋体" w:hAnsi="宋体" w:hint="eastAsia"/>
          <w:szCs w:val="21"/>
        </w:rPr>
        <w:t>机制设计研究为核心科学问题，具体包括以下四个方面：</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一）通过理论建模、数值模拟、大数据和人工智能等研究方法的深度交叉融合，基于多部门动态一般均衡模型和生产网络构建与分析，探索碳中和驱动的生产函数重构对中长期经济增长、全要素生产率、就业等的影响及动力机制。</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（二）在经济双循环背景下，消费</w:t>
      </w:r>
      <w:proofErr w:type="gramStart"/>
      <w:r w:rsidRPr="00E068B8">
        <w:rPr>
          <w:rFonts w:ascii="宋体" w:eastAsia="宋体" w:hAnsi="宋体" w:hint="eastAsia"/>
          <w:szCs w:val="21"/>
        </w:rPr>
        <w:t>端减排面临</w:t>
      </w:r>
      <w:proofErr w:type="gramEnd"/>
      <w:r w:rsidRPr="00E068B8">
        <w:rPr>
          <w:rFonts w:ascii="宋体" w:eastAsia="宋体" w:hAnsi="宋体" w:hint="eastAsia"/>
          <w:szCs w:val="21"/>
        </w:rPr>
        <w:t>着平衡经济增长与低碳发展的双重责任。应用大数据、政策实验和人工智能等手段和方法揭示个人家庭消费碳排放行为及其决定因素，研究消费行为对消费者效用函数的改变，进一步揭示基于效用函数变化的经济运行特征和演化规律。</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（三）</w:t>
      </w:r>
      <w:proofErr w:type="gramStart"/>
      <w:r w:rsidRPr="00E068B8">
        <w:rPr>
          <w:rFonts w:ascii="宋体" w:eastAsia="宋体" w:hAnsi="宋体" w:hint="eastAsia"/>
          <w:szCs w:val="21"/>
        </w:rPr>
        <w:t>双碳目标</w:t>
      </w:r>
      <w:proofErr w:type="gramEnd"/>
      <w:r w:rsidRPr="00E068B8">
        <w:rPr>
          <w:rFonts w:ascii="宋体" w:eastAsia="宋体" w:hAnsi="宋体" w:hint="eastAsia"/>
          <w:szCs w:val="21"/>
        </w:rPr>
        <w:t>下的外部性分析和社会福利分析。当前的现实问题既包括市场</w:t>
      </w:r>
      <w:proofErr w:type="gramStart"/>
      <w:r w:rsidRPr="00E068B8">
        <w:rPr>
          <w:rFonts w:ascii="宋体" w:eastAsia="宋体" w:hAnsi="宋体" w:hint="eastAsia"/>
          <w:szCs w:val="21"/>
        </w:rPr>
        <w:t>主体碳减排</w:t>
      </w:r>
      <w:proofErr w:type="gramEnd"/>
      <w:r w:rsidRPr="00E068B8">
        <w:rPr>
          <w:rFonts w:ascii="宋体" w:eastAsia="宋体" w:hAnsi="宋体" w:hint="eastAsia"/>
          <w:szCs w:val="21"/>
        </w:rPr>
        <w:t>动力不足，市场调节机制作用有限，也包括政策性减排在空间、时间和机制等方面缺少统筹协调，因此，纠正负外部性和市场失灵是实现碳中和的关键。应科学厘定不同主体碳排放</w:t>
      </w:r>
      <w:r w:rsidRPr="00E068B8">
        <w:rPr>
          <w:rFonts w:ascii="宋体" w:eastAsia="宋体" w:hAnsi="宋体" w:hint="eastAsia"/>
          <w:szCs w:val="21"/>
        </w:rPr>
        <w:lastRenderedPageBreak/>
        <w:t>跨时空的外部性并制定相应政策，包括跨国之间的政策协同机制。</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（四）研究市场驱动</w:t>
      </w:r>
      <w:proofErr w:type="gramStart"/>
      <w:r w:rsidRPr="00E068B8">
        <w:rPr>
          <w:rFonts w:ascii="宋体" w:eastAsia="宋体" w:hAnsi="宋体" w:hint="eastAsia"/>
          <w:szCs w:val="21"/>
        </w:rPr>
        <w:t>的碳排放权</w:t>
      </w:r>
      <w:proofErr w:type="gramEnd"/>
      <w:r w:rsidRPr="00E068B8">
        <w:rPr>
          <w:rFonts w:ascii="宋体" w:eastAsia="宋体" w:hAnsi="宋体" w:hint="eastAsia"/>
          <w:szCs w:val="21"/>
        </w:rPr>
        <w:t>分配和交易体系理论和方法，改进</w:t>
      </w:r>
      <w:proofErr w:type="gramStart"/>
      <w:r w:rsidRPr="00E068B8">
        <w:rPr>
          <w:rFonts w:ascii="宋体" w:eastAsia="宋体" w:hAnsi="宋体" w:hint="eastAsia"/>
          <w:szCs w:val="21"/>
        </w:rPr>
        <w:t>碳市场</w:t>
      </w:r>
      <w:proofErr w:type="gramEnd"/>
      <w:r w:rsidRPr="00E068B8">
        <w:rPr>
          <w:rFonts w:ascii="宋体" w:eastAsia="宋体" w:hAnsi="宋体" w:hint="eastAsia"/>
          <w:szCs w:val="21"/>
        </w:rPr>
        <w:t>机制设计，探索</w:t>
      </w:r>
      <w:proofErr w:type="gramStart"/>
      <w:r w:rsidRPr="00E068B8">
        <w:rPr>
          <w:rFonts w:ascii="宋体" w:eastAsia="宋体" w:hAnsi="宋体" w:hint="eastAsia"/>
          <w:szCs w:val="21"/>
        </w:rPr>
        <w:t>碳价格</w:t>
      </w:r>
      <w:proofErr w:type="gramEnd"/>
      <w:r w:rsidRPr="00E068B8">
        <w:rPr>
          <w:rFonts w:ascii="宋体" w:eastAsia="宋体" w:hAnsi="宋体" w:hint="eastAsia"/>
          <w:szCs w:val="21"/>
        </w:rPr>
        <w:t>形成机制和不同市场</w:t>
      </w:r>
      <w:proofErr w:type="gramStart"/>
      <w:r w:rsidRPr="00E068B8">
        <w:rPr>
          <w:rFonts w:ascii="宋体" w:eastAsia="宋体" w:hAnsi="宋体" w:hint="eastAsia"/>
          <w:szCs w:val="21"/>
        </w:rPr>
        <w:t>碳价格</w:t>
      </w:r>
      <w:proofErr w:type="gramEnd"/>
      <w:r w:rsidRPr="00E068B8">
        <w:rPr>
          <w:rFonts w:ascii="宋体" w:eastAsia="宋体" w:hAnsi="宋体" w:hint="eastAsia"/>
          <w:szCs w:val="21"/>
        </w:rPr>
        <w:t>的锚定关系，促进碳资源优化配置。</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三、</w:t>
      </w:r>
      <w:r w:rsidRPr="00E068B8">
        <w:rPr>
          <w:rFonts w:ascii="宋体" w:eastAsia="宋体" w:hAnsi="宋体"/>
          <w:szCs w:val="21"/>
        </w:rPr>
        <w:t>2022年度主要资助方向</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（一）基于碳中和下新生产函数的经济理论</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proofErr w:type="gramStart"/>
      <w:r w:rsidRPr="00E068B8">
        <w:rPr>
          <w:rFonts w:ascii="宋体" w:eastAsia="宋体" w:hAnsi="宋体" w:hint="eastAsia"/>
          <w:szCs w:val="21"/>
        </w:rPr>
        <w:t>双碳目标</w:t>
      </w:r>
      <w:proofErr w:type="gramEnd"/>
      <w:r w:rsidRPr="00E068B8">
        <w:rPr>
          <w:rFonts w:ascii="宋体" w:eastAsia="宋体" w:hAnsi="宋体" w:hint="eastAsia"/>
          <w:szCs w:val="21"/>
        </w:rPr>
        <w:t>下的基于成本有效性的经济学理论模型分析。构建由碳中和目标约束下生产者行为、消费者行为和政府行为作为微观基础的动态一般均衡模型；碳中和与长期经济增长、全要素生产率、劳动力市场的相互作用机制；碳中和下经济发展和经济结构演变的动力机制研究等；效率和公平协同目标下的</w:t>
      </w:r>
      <w:proofErr w:type="gramStart"/>
      <w:r w:rsidRPr="00E068B8">
        <w:rPr>
          <w:rFonts w:ascii="宋体" w:eastAsia="宋体" w:hAnsi="宋体" w:hint="eastAsia"/>
          <w:szCs w:val="21"/>
        </w:rPr>
        <w:t>双碳目标</w:t>
      </w:r>
      <w:proofErr w:type="gramEnd"/>
      <w:r w:rsidRPr="00E068B8">
        <w:rPr>
          <w:rFonts w:ascii="宋体" w:eastAsia="宋体" w:hAnsi="宋体" w:hint="eastAsia"/>
          <w:szCs w:val="21"/>
        </w:rPr>
        <w:t>实现机理，动力和路径分析。</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（二）碳中和下新消费理论构建和相关政策分析</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消费如何从需求</w:t>
      </w:r>
      <w:proofErr w:type="gramStart"/>
      <w:r w:rsidRPr="00E068B8">
        <w:rPr>
          <w:rFonts w:ascii="宋体" w:eastAsia="宋体" w:hAnsi="宋体" w:hint="eastAsia"/>
          <w:szCs w:val="21"/>
        </w:rPr>
        <w:t>端影响</w:t>
      </w:r>
      <w:proofErr w:type="gramEnd"/>
      <w:r w:rsidRPr="00E068B8">
        <w:rPr>
          <w:rFonts w:ascii="宋体" w:eastAsia="宋体" w:hAnsi="宋体" w:hint="eastAsia"/>
          <w:szCs w:val="21"/>
        </w:rPr>
        <w:t>市场供需关系</w:t>
      </w:r>
      <w:r w:rsidRPr="00E068B8">
        <w:rPr>
          <w:rFonts w:ascii="宋体" w:eastAsia="宋体" w:hAnsi="宋体"/>
          <w:szCs w:val="21"/>
        </w:rPr>
        <w:t>,倒逼产业结构的低碳转型机制；揭示异质经济主体消费碳排放的重要性、差异性及历史趋势；如何引导消费需求规模和消费需求结构转型以</w:t>
      </w:r>
      <w:proofErr w:type="gramStart"/>
      <w:r w:rsidRPr="00E068B8">
        <w:rPr>
          <w:rFonts w:ascii="宋体" w:eastAsia="宋体" w:hAnsi="宋体"/>
          <w:szCs w:val="21"/>
        </w:rPr>
        <w:t>实现双碳目标</w:t>
      </w:r>
      <w:proofErr w:type="gramEnd"/>
      <w:r w:rsidRPr="00E068B8">
        <w:rPr>
          <w:rFonts w:ascii="宋体" w:eastAsia="宋体" w:hAnsi="宋体"/>
          <w:szCs w:val="21"/>
        </w:rPr>
        <w:t>；基于行为科学理论和方法，开展激励机制设计的低碳生活干预政策及评估；基于偏好和需求改变的新消费者效用函数理论与实证分析；碳中和下消费者效用函数变化驱动的经济结构演变等。</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（三）</w:t>
      </w:r>
      <w:proofErr w:type="gramStart"/>
      <w:r w:rsidRPr="00E068B8">
        <w:rPr>
          <w:rFonts w:ascii="宋体" w:eastAsia="宋体" w:hAnsi="宋体" w:hint="eastAsia"/>
          <w:szCs w:val="21"/>
        </w:rPr>
        <w:t>碳市场</w:t>
      </w:r>
      <w:proofErr w:type="gramEnd"/>
      <w:r w:rsidRPr="00E068B8">
        <w:rPr>
          <w:rFonts w:ascii="宋体" w:eastAsia="宋体" w:hAnsi="宋体" w:hint="eastAsia"/>
          <w:szCs w:val="21"/>
        </w:rPr>
        <w:t>机制设计研究</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促进</w:t>
      </w:r>
      <w:proofErr w:type="gramStart"/>
      <w:r w:rsidRPr="00E068B8">
        <w:rPr>
          <w:rFonts w:ascii="宋体" w:eastAsia="宋体" w:hAnsi="宋体" w:hint="eastAsia"/>
          <w:szCs w:val="21"/>
        </w:rPr>
        <w:t>碳资源</w:t>
      </w:r>
      <w:proofErr w:type="gramEnd"/>
      <w:r w:rsidRPr="00E068B8">
        <w:rPr>
          <w:rFonts w:ascii="宋体" w:eastAsia="宋体" w:hAnsi="宋体" w:hint="eastAsia"/>
          <w:szCs w:val="21"/>
        </w:rPr>
        <w:t>的优化配置，设计合理的</w:t>
      </w:r>
      <w:proofErr w:type="gramStart"/>
      <w:r w:rsidRPr="00E068B8">
        <w:rPr>
          <w:rFonts w:ascii="宋体" w:eastAsia="宋体" w:hAnsi="宋体" w:hint="eastAsia"/>
          <w:szCs w:val="21"/>
        </w:rPr>
        <w:t>碳市场</w:t>
      </w:r>
      <w:proofErr w:type="gramEnd"/>
      <w:r w:rsidRPr="00E068B8">
        <w:rPr>
          <w:rFonts w:ascii="宋体" w:eastAsia="宋体" w:hAnsi="宋体" w:hint="eastAsia"/>
          <w:szCs w:val="21"/>
        </w:rPr>
        <w:t>机制设计，包括分析</w:t>
      </w:r>
      <w:proofErr w:type="gramStart"/>
      <w:r w:rsidRPr="00E068B8">
        <w:rPr>
          <w:rFonts w:ascii="宋体" w:eastAsia="宋体" w:hAnsi="宋体" w:hint="eastAsia"/>
          <w:szCs w:val="21"/>
        </w:rPr>
        <w:t>比较碳价在</w:t>
      </w:r>
      <w:proofErr w:type="gramEnd"/>
      <w:r w:rsidRPr="00E068B8">
        <w:rPr>
          <w:rFonts w:ascii="宋体" w:eastAsia="宋体" w:hAnsi="宋体" w:hint="eastAsia"/>
          <w:szCs w:val="21"/>
        </w:rPr>
        <w:t>执行层面的两种形式（碳税和</w:t>
      </w:r>
      <w:proofErr w:type="gramStart"/>
      <w:r w:rsidRPr="00E068B8">
        <w:rPr>
          <w:rFonts w:ascii="宋体" w:eastAsia="宋体" w:hAnsi="宋体" w:hint="eastAsia"/>
          <w:szCs w:val="21"/>
        </w:rPr>
        <w:t>碳交易</w:t>
      </w:r>
      <w:proofErr w:type="gramEnd"/>
      <w:r w:rsidRPr="00E068B8">
        <w:rPr>
          <w:rFonts w:ascii="宋体" w:eastAsia="宋体" w:hAnsi="宋体" w:hint="eastAsia"/>
          <w:szCs w:val="21"/>
        </w:rPr>
        <w:t>形成的价格）的优劣；</w:t>
      </w:r>
      <w:proofErr w:type="gramStart"/>
      <w:r w:rsidRPr="00E068B8">
        <w:rPr>
          <w:rFonts w:ascii="宋体" w:eastAsia="宋体" w:hAnsi="宋体" w:hint="eastAsia"/>
          <w:szCs w:val="21"/>
        </w:rPr>
        <w:t>发现碳排放权</w:t>
      </w:r>
      <w:proofErr w:type="gramEnd"/>
      <w:r w:rsidRPr="00E068B8">
        <w:rPr>
          <w:rFonts w:ascii="宋体" w:eastAsia="宋体" w:hAnsi="宋体" w:hint="eastAsia"/>
          <w:szCs w:val="21"/>
        </w:rPr>
        <w:t>分配的新拍卖理论研究；</w:t>
      </w:r>
      <w:proofErr w:type="gramStart"/>
      <w:r w:rsidRPr="00E068B8">
        <w:rPr>
          <w:rFonts w:ascii="宋体" w:eastAsia="宋体" w:hAnsi="宋体" w:hint="eastAsia"/>
          <w:szCs w:val="21"/>
        </w:rPr>
        <w:t>碳交易</w:t>
      </w:r>
      <w:proofErr w:type="gramEnd"/>
      <w:r w:rsidRPr="00E068B8">
        <w:rPr>
          <w:rFonts w:ascii="宋体" w:eastAsia="宋体" w:hAnsi="宋体" w:hint="eastAsia"/>
          <w:szCs w:val="21"/>
        </w:rPr>
        <w:t>机制设计与优化理论及实证分析；碳税理论与最优税率设定；</w:t>
      </w:r>
      <w:proofErr w:type="gramStart"/>
      <w:r w:rsidRPr="00E068B8">
        <w:rPr>
          <w:rFonts w:ascii="宋体" w:eastAsia="宋体" w:hAnsi="宋体" w:hint="eastAsia"/>
          <w:szCs w:val="21"/>
        </w:rPr>
        <w:t>碳风险</w:t>
      </w:r>
      <w:proofErr w:type="gramEnd"/>
      <w:r w:rsidRPr="00E068B8">
        <w:rPr>
          <w:rFonts w:ascii="宋体" w:eastAsia="宋体" w:hAnsi="宋体" w:hint="eastAsia"/>
          <w:szCs w:val="21"/>
        </w:rPr>
        <w:t>因子驱动的新资产定价模型与大数据分析；</w:t>
      </w:r>
      <w:proofErr w:type="gramStart"/>
      <w:r w:rsidRPr="00E068B8">
        <w:rPr>
          <w:rFonts w:ascii="宋体" w:eastAsia="宋体" w:hAnsi="宋体" w:hint="eastAsia"/>
          <w:szCs w:val="21"/>
        </w:rPr>
        <w:t>基于碳排放权</w:t>
      </w:r>
      <w:proofErr w:type="gramEnd"/>
      <w:r w:rsidRPr="00E068B8">
        <w:rPr>
          <w:rFonts w:ascii="宋体" w:eastAsia="宋体" w:hAnsi="宋体" w:hint="eastAsia"/>
          <w:szCs w:val="21"/>
        </w:rPr>
        <w:t>的金融产品设计与建模；多市场</w:t>
      </w:r>
      <w:proofErr w:type="gramStart"/>
      <w:r w:rsidRPr="00E068B8">
        <w:rPr>
          <w:rFonts w:ascii="宋体" w:eastAsia="宋体" w:hAnsi="宋体" w:hint="eastAsia"/>
          <w:szCs w:val="21"/>
        </w:rPr>
        <w:t>碳价格</w:t>
      </w:r>
      <w:proofErr w:type="gramEnd"/>
      <w:r w:rsidRPr="00E068B8">
        <w:rPr>
          <w:rFonts w:ascii="宋体" w:eastAsia="宋体" w:hAnsi="宋体" w:hint="eastAsia"/>
          <w:szCs w:val="21"/>
        </w:rPr>
        <w:t>的锚</w:t>
      </w:r>
      <w:proofErr w:type="gramStart"/>
      <w:r w:rsidRPr="00E068B8">
        <w:rPr>
          <w:rFonts w:ascii="宋体" w:eastAsia="宋体" w:hAnsi="宋体" w:hint="eastAsia"/>
          <w:szCs w:val="21"/>
        </w:rPr>
        <w:t>定关系</w:t>
      </w:r>
      <w:proofErr w:type="gramEnd"/>
      <w:r w:rsidRPr="00E068B8">
        <w:rPr>
          <w:rFonts w:ascii="宋体" w:eastAsia="宋体" w:hAnsi="宋体" w:hint="eastAsia"/>
          <w:szCs w:val="21"/>
        </w:rPr>
        <w:t>等。</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四、资助期限和资助强度</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资助期限一般为</w:t>
      </w:r>
      <w:r w:rsidRPr="00E068B8">
        <w:rPr>
          <w:rFonts w:ascii="宋体" w:eastAsia="宋体" w:hAnsi="宋体"/>
          <w:szCs w:val="21"/>
        </w:rPr>
        <w:t>1—3年，资助强度一般不超过100万元/年。申请人可根据研究工作的实际需要，实事求是地选择资助期限和提出资金需求。</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五、申请要求</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（一）申请资格</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具有承担基础研究项目（课题）或其他基础研究经历的科学技术人员均可提出申请。</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（二）限</w:t>
      </w:r>
      <w:proofErr w:type="gramStart"/>
      <w:r w:rsidRPr="00E068B8">
        <w:rPr>
          <w:rFonts w:ascii="宋体" w:eastAsia="宋体" w:hAnsi="宋体" w:hint="eastAsia"/>
          <w:szCs w:val="21"/>
        </w:rPr>
        <w:t>项申请</w:t>
      </w:r>
      <w:proofErr w:type="gramEnd"/>
      <w:r w:rsidRPr="00E068B8">
        <w:rPr>
          <w:rFonts w:ascii="宋体" w:eastAsia="宋体" w:hAnsi="宋体" w:hint="eastAsia"/>
          <w:szCs w:val="21"/>
        </w:rPr>
        <w:t>规定</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1. 申请人同年只能申请1项原创项目（含预申请）。</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2. 原创</w:t>
      </w:r>
      <w:proofErr w:type="gramStart"/>
      <w:r w:rsidRPr="00E068B8">
        <w:rPr>
          <w:rFonts w:ascii="宋体" w:eastAsia="宋体" w:hAnsi="宋体"/>
          <w:szCs w:val="21"/>
        </w:rPr>
        <w:t>项目从预申请</w:t>
      </w:r>
      <w:proofErr w:type="gramEnd"/>
      <w:r w:rsidRPr="00E068B8">
        <w:rPr>
          <w:rFonts w:ascii="宋体" w:eastAsia="宋体" w:hAnsi="宋体"/>
          <w:szCs w:val="21"/>
        </w:rPr>
        <w:t>开始直到自然科学基金委</w:t>
      </w:r>
      <w:proofErr w:type="gramStart"/>
      <w:r w:rsidRPr="00E068B8">
        <w:rPr>
          <w:rFonts w:ascii="宋体" w:eastAsia="宋体" w:hAnsi="宋体"/>
          <w:szCs w:val="21"/>
        </w:rPr>
        <w:t>作出</w:t>
      </w:r>
      <w:proofErr w:type="gramEnd"/>
      <w:r w:rsidRPr="00E068B8">
        <w:rPr>
          <w:rFonts w:ascii="宋体" w:eastAsia="宋体" w:hAnsi="宋体"/>
          <w:szCs w:val="21"/>
        </w:rPr>
        <w:t>资助与否决定之前，不计</w:t>
      </w:r>
      <w:proofErr w:type="gramStart"/>
      <w:r w:rsidRPr="00E068B8">
        <w:rPr>
          <w:rFonts w:ascii="宋体" w:eastAsia="宋体" w:hAnsi="宋体"/>
          <w:szCs w:val="21"/>
        </w:rPr>
        <w:t>入申请</w:t>
      </w:r>
      <w:proofErr w:type="gramEnd"/>
      <w:r w:rsidRPr="00E068B8">
        <w:rPr>
          <w:rFonts w:ascii="宋体" w:eastAsia="宋体" w:hAnsi="宋体"/>
          <w:szCs w:val="21"/>
        </w:rPr>
        <w:t>和承担总数范围；获资助后计入申请和承担总数范围。</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lastRenderedPageBreak/>
        <w:t xml:space="preserve">　　</w:t>
      </w:r>
      <w:r w:rsidRPr="00E068B8">
        <w:rPr>
          <w:rFonts w:ascii="宋体" w:eastAsia="宋体" w:hAnsi="宋体"/>
          <w:szCs w:val="21"/>
        </w:rPr>
        <w:t>3. 作为项目负责人近5年（2017年1月1日后）已经获得国家社会科学基金项目资助，但在本原创探索计划申请截至日前，尚未获得全国哲学社会科学规划办公室颁发的《结项证书》者不得申请，已获得《结项证书》的，需在线提交加盖依托单位法人公章的《结项证书》电子版。</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六、申请程序</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（一）预申请</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1. 预申请提交时间为2022年3月11日—4月15日16时。</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碳中和对经济学的影响”，申请代码根据项目研究所涉及的具体领域方向，自行选择相应学科申请代码。</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3．预申请主要阐述所提学术思想的原创性、科学性和潜在影响力，字数控制在2000字以内。申请人按照信息系统中的有关提示填写预申请相关内容后直接提交至自然科学基金委。</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4．自然科学基金委受理预申请并组织审查。审查结果将以电子邮件形式反馈至申请人。</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（二）正式申请</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1. 预申请审查通过的申请人，应按照“专项项目-原创探索计划项目正式申请书撰写提纲”要求填写正式申请书。正式申请的核心研究内容应与预申请一致。</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2. 除特别说明外，每个原创项目的合作研究单位数合计不超过2个；主要参与者必须是项目的实际贡献者。</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3. 原创项目资金管理采用预算制。申请人应根据《国家自然科学基金资助项目资金管理办法》（</w:t>
      </w:r>
      <w:proofErr w:type="gramStart"/>
      <w:r w:rsidRPr="00E068B8">
        <w:rPr>
          <w:rFonts w:ascii="宋体" w:eastAsia="宋体" w:hAnsi="宋体"/>
          <w:szCs w:val="21"/>
        </w:rPr>
        <w:t>财教〔2021〕</w:t>
      </w:r>
      <w:proofErr w:type="gramEnd"/>
      <w:r w:rsidRPr="00E068B8">
        <w:rPr>
          <w:rFonts w:ascii="宋体" w:eastAsia="宋体" w:hAnsi="宋体"/>
          <w:szCs w:val="21"/>
        </w:rPr>
        <w:t>177号）《国家自然科学基金项目申请书预算表编制说明》的具体要求，认真编制预算表。</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4. 申请人完成申请书撰写后，在线提交电子申请书及附件材料。</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5. 依托单位应对本单位申请人所提交申请材料的真实性和完整性进行审核。原创项目采用无纸</w:t>
      </w:r>
      <w:proofErr w:type="gramStart"/>
      <w:r w:rsidRPr="00E068B8">
        <w:rPr>
          <w:rFonts w:ascii="宋体" w:eastAsia="宋体" w:hAnsi="宋体"/>
          <w:szCs w:val="21"/>
        </w:rPr>
        <w:t>化申请</w:t>
      </w:r>
      <w:proofErr w:type="gramEnd"/>
      <w:r w:rsidRPr="00E068B8">
        <w:rPr>
          <w:rFonts w:ascii="宋体" w:eastAsia="宋体" w:hAnsi="宋体"/>
          <w:szCs w:val="21"/>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w:t>
      </w:r>
      <w:r w:rsidRPr="00E068B8">
        <w:rPr>
          <w:rFonts w:ascii="宋体" w:eastAsia="宋体" w:hAnsi="宋体"/>
          <w:szCs w:val="21"/>
        </w:rPr>
        <w:t>6.自然科学基金委项目材料接收工作组负责接收申请材料，如材料不完整，将不予接收。</w:t>
      </w:r>
      <w:r w:rsidRPr="00E068B8">
        <w:rPr>
          <w:rFonts w:ascii="宋体" w:eastAsia="宋体" w:hAnsi="宋体"/>
          <w:szCs w:val="21"/>
        </w:rPr>
        <w:lastRenderedPageBreak/>
        <w:t>材料接收工作组联系方式如下：北京市海淀区双清路83号国家自然科学基金委员会项目材料接收工作组（行政楼101房间），联系电话010-62328591。</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七、注意事项</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（一）项目实施保障</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原创项目负责人应将主要精力投入项目研究中；依托单位应加强对原创项目实施的监督、管理和服务，减轻项目负责人不必要的负担，为项目研究提供必要的制度和条件保障。</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（二）其他</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原创项目申请与资助不设复审环节。自然科学基金委将把相关项目负责人项目执行情况和评审专家的评审情况计入信誉档案。</w:t>
      </w:r>
    </w:p>
    <w:p w:rsidR="00E068B8" w:rsidRPr="00E068B8" w:rsidRDefault="00E068B8" w:rsidP="00E34785">
      <w:pPr>
        <w:spacing w:line="360" w:lineRule="auto"/>
        <w:rPr>
          <w:rFonts w:ascii="宋体" w:eastAsia="宋体" w:hAnsi="宋体"/>
          <w:szCs w:val="21"/>
        </w:rPr>
      </w:pPr>
      <w:r w:rsidRPr="00E068B8">
        <w:rPr>
          <w:rFonts w:ascii="宋体" w:eastAsia="宋体" w:hAnsi="宋体" w:hint="eastAsia"/>
          <w:szCs w:val="21"/>
        </w:rPr>
        <w:t xml:space="preserve">　　（三）咨询方式</w:t>
      </w:r>
    </w:p>
    <w:p w:rsidR="00E068B8" w:rsidRPr="00E068B8" w:rsidRDefault="00E068B8" w:rsidP="00E34785">
      <w:pPr>
        <w:spacing w:line="360" w:lineRule="auto"/>
        <w:rPr>
          <w:rFonts w:ascii="宋体" w:eastAsia="宋体" w:hAnsi="宋体"/>
          <w:szCs w:val="21"/>
        </w:rPr>
      </w:pPr>
    </w:p>
    <w:p w:rsidR="00E068B8" w:rsidRPr="00E068B8" w:rsidRDefault="00E068B8" w:rsidP="00E34785">
      <w:pPr>
        <w:spacing w:line="360" w:lineRule="auto"/>
        <w:jc w:val="right"/>
        <w:rPr>
          <w:rFonts w:ascii="宋体" w:eastAsia="宋体" w:hAnsi="宋体"/>
          <w:szCs w:val="21"/>
        </w:rPr>
      </w:pPr>
      <w:r w:rsidRPr="00E068B8">
        <w:rPr>
          <w:rFonts w:ascii="宋体" w:eastAsia="宋体" w:hAnsi="宋体" w:hint="eastAsia"/>
          <w:szCs w:val="21"/>
        </w:rPr>
        <w:t xml:space="preserve">　　自然科学基金委管理科学部综合与战略规划处</w:t>
      </w:r>
    </w:p>
    <w:p w:rsidR="00E068B8" w:rsidRPr="00E068B8" w:rsidRDefault="00E068B8" w:rsidP="00E34785">
      <w:pPr>
        <w:spacing w:line="360" w:lineRule="auto"/>
        <w:jc w:val="right"/>
        <w:rPr>
          <w:rFonts w:ascii="宋体" w:eastAsia="宋体" w:hAnsi="宋体"/>
          <w:szCs w:val="21"/>
        </w:rPr>
      </w:pPr>
      <w:r w:rsidRPr="00E068B8">
        <w:rPr>
          <w:rFonts w:ascii="宋体" w:eastAsia="宋体" w:hAnsi="宋体" w:hint="eastAsia"/>
          <w:szCs w:val="21"/>
        </w:rPr>
        <w:t xml:space="preserve">　　联系人：王征</w:t>
      </w:r>
    </w:p>
    <w:p w:rsidR="005A52A0" w:rsidRPr="00E068B8" w:rsidRDefault="00E068B8" w:rsidP="00E34785">
      <w:pPr>
        <w:spacing w:line="360" w:lineRule="auto"/>
        <w:jc w:val="right"/>
        <w:rPr>
          <w:rFonts w:ascii="宋体" w:eastAsia="宋体" w:hAnsi="宋体"/>
          <w:szCs w:val="21"/>
        </w:rPr>
      </w:pPr>
      <w:r w:rsidRPr="00E068B8">
        <w:rPr>
          <w:rFonts w:ascii="宋体" w:eastAsia="宋体" w:hAnsi="宋体" w:hint="eastAsia"/>
          <w:szCs w:val="21"/>
        </w:rPr>
        <w:t xml:space="preserve">　　联系电话：</w:t>
      </w:r>
      <w:r w:rsidRPr="00E068B8">
        <w:rPr>
          <w:rFonts w:ascii="宋体" w:eastAsia="宋体" w:hAnsi="宋体"/>
          <w:szCs w:val="21"/>
        </w:rPr>
        <w:t>010-62326898</w:t>
      </w:r>
    </w:p>
    <w:sectPr w:rsidR="005A52A0" w:rsidRPr="00E06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B8"/>
    <w:rsid w:val="001D43CD"/>
    <w:rsid w:val="00E068B8"/>
    <w:rsid w:val="00E07461"/>
    <w:rsid w:val="00E3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D2EA5-5F92-4E50-938E-78689AB4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384">
      <w:bodyDiv w:val="1"/>
      <w:marLeft w:val="0"/>
      <w:marRight w:val="0"/>
      <w:marTop w:val="0"/>
      <w:marBottom w:val="0"/>
      <w:divBdr>
        <w:top w:val="none" w:sz="0" w:space="0" w:color="auto"/>
        <w:left w:val="none" w:sz="0" w:space="0" w:color="auto"/>
        <w:bottom w:val="none" w:sz="0" w:space="0" w:color="auto"/>
        <w:right w:val="none" w:sz="0" w:space="0" w:color="auto"/>
      </w:divBdr>
      <w:divsChild>
        <w:div w:id="1578588036">
          <w:marLeft w:val="0"/>
          <w:marRight w:val="0"/>
          <w:marTop w:val="0"/>
          <w:marBottom w:val="0"/>
          <w:divBdr>
            <w:top w:val="single" w:sz="6" w:space="0" w:color="999999"/>
            <w:left w:val="none" w:sz="0" w:space="0" w:color="auto"/>
            <w:bottom w:val="single" w:sz="6" w:space="0" w:color="999999"/>
            <w:right w:val="none" w:sz="0" w:space="0" w:color="auto"/>
          </w:divBdr>
        </w:div>
      </w:divsChild>
    </w:div>
    <w:div w:id="2044358359">
      <w:bodyDiv w:val="1"/>
      <w:marLeft w:val="0"/>
      <w:marRight w:val="0"/>
      <w:marTop w:val="0"/>
      <w:marBottom w:val="0"/>
      <w:divBdr>
        <w:top w:val="none" w:sz="0" w:space="0" w:color="auto"/>
        <w:left w:val="none" w:sz="0" w:space="0" w:color="auto"/>
        <w:bottom w:val="none" w:sz="0" w:space="0" w:color="auto"/>
        <w:right w:val="none" w:sz="0" w:space="0" w:color="auto"/>
      </w:divBdr>
      <w:divsChild>
        <w:div w:id="181502089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479</Words>
  <Characters>2735</Characters>
  <Application>Microsoft Office Word</Application>
  <DocSecurity>0</DocSecurity>
  <Lines>22</Lines>
  <Paragraphs>6</Paragraphs>
  <ScaleCrop>false</ScaleCrop>
  <Company>Lenovo</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2022-03-09T10:20:00Z</dcterms:created>
  <dcterms:modified xsi:type="dcterms:W3CDTF">2022-03-09T11:05:00Z</dcterms:modified>
</cp:coreProperties>
</file>