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atLeast"/>
        <w:jc w:val="center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宋体" w:hAnsi="宋体" w:eastAsia="宋体" w:cs="Arial"/>
          <w:color w:val="3F3F3F"/>
          <w:kern w:val="0"/>
          <w:sz w:val="36"/>
          <w:szCs w:val="36"/>
        </w:rPr>
        <w:t>关于</w:t>
      </w:r>
      <w:r>
        <w:rPr>
          <w:rFonts w:hint="eastAsia" w:ascii="宋体" w:hAnsi="宋体" w:cs="Arial"/>
          <w:color w:val="3F3F3F"/>
          <w:kern w:val="0"/>
          <w:sz w:val="36"/>
          <w:szCs w:val="36"/>
          <w:lang w:val="en-US" w:eastAsia="zh-CN"/>
        </w:rPr>
        <w:t>2015年</w:t>
      </w:r>
      <w:r>
        <w:rPr>
          <w:rFonts w:hint="eastAsia" w:ascii="宋体" w:hAnsi="宋体" w:eastAsia="宋体" w:cs="Arial"/>
          <w:color w:val="3F3F3F"/>
          <w:kern w:val="0"/>
          <w:sz w:val="36"/>
          <w:szCs w:val="36"/>
        </w:rPr>
        <w:t>研究生创新基地(实验室)开放基金申报的通知</w:t>
      </w:r>
    </w:p>
    <w:p>
      <w:pPr>
        <w:widowControl/>
        <w:spacing w:line="560" w:lineRule="atLeast"/>
        <w:jc w:val="left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仿宋_GB2312" w:hAnsi="Arial" w:eastAsia="仿宋_GB2312" w:cs="Arial"/>
          <w:color w:val="3F3F3F"/>
          <w:kern w:val="0"/>
          <w:sz w:val="24"/>
          <w:szCs w:val="24"/>
        </w:rPr>
        <w:t xml:space="preserve"> </w:t>
      </w:r>
    </w:p>
    <w:p>
      <w:pPr>
        <w:widowControl/>
        <w:spacing w:line="560" w:lineRule="atLeast"/>
        <w:jc w:val="left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各学院、各位研究生：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为进一步加强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研究生创新能力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培养，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鼓励研究生进行创新设计和创新研究，根据《南京航空航天大学研究生创新基地（实验室）开放基金项目管理办法》（校研字[20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]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号）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（附件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1）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，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学校决定启动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2015年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研究生创新基地（实验室）开放基金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（以下简称“开放基金”）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的申报工作。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2015年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开放基金项目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实行校、院（部）两级组织管理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，项目申报启用“研究生创新项目管理系统”，现将相关事宜通知如下：</w:t>
      </w:r>
    </w:p>
    <w:p>
      <w:pPr>
        <w:widowControl/>
        <w:numPr>
          <w:ilvl w:val="0"/>
          <w:numId w:val="1"/>
        </w:numPr>
        <w:wordWrap/>
        <w:adjustRightInd/>
        <w:spacing w:line="560" w:lineRule="atLeast"/>
        <w:ind w:left="0" w:leftChars="0" w:right="0"/>
        <w:jc w:val="left"/>
        <w:textAlignment w:val="auto"/>
        <w:outlineLvl w:val="9"/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eastAsia="zh-CN"/>
        </w:rPr>
        <w:t>申报对象</w:t>
      </w:r>
    </w:p>
    <w:p>
      <w:pPr>
        <w:widowControl/>
        <w:numPr>
          <w:numId w:val="0"/>
        </w:numPr>
        <w:wordWrap/>
        <w:adjustRightInd/>
        <w:spacing w:line="560" w:lineRule="atLeast"/>
        <w:ind w:right="0"/>
        <w:jc w:val="left"/>
        <w:textAlignment w:val="auto"/>
        <w:outlineLvl w:val="9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所有在校全日制硕士研究生，申请者须学有余力，有较强的创新意识和独立思考能力。</w:t>
      </w:r>
    </w:p>
    <w:p>
      <w:pPr>
        <w:widowControl/>
        <w:numPr>
          <w:ilvl w:val="0"/>
          <w:numId w:val="1"/>
        </w:numPr>
        <w:spacing w:line="560" w:lineRule="atLeast"/>
        <w:jc w:val="left"/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eastAsia="zh-CN"/>
        </w:rPr>
        <w:t>申报相关要求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1.申报形式：开放基金以项目的形式进行资助，以个人或团队申请。鼓励以团队形式申报，鼓励跨学科、跨学院、跨年级、多专业开展合作研究，团队一般不超过4人。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2.研究内容：开放基金项目资助的研究内容不限，只要是新思想、新技术、新方法、新原理，都可以申请资助。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3.指导教师：项目指导教师原则上应由项目负责人研究生导师担任。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4.项目周期：项目实施时间可根据其研究目标、研究内容和工作进度而定，原则上不超过1年。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5.预期成果：项目申报立项时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承诺的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预期结题成果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，工科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至少为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篇核心期刊论文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；非工科为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2篇期刊论文，其中至少1篇为核心期刊论文。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导师（研究生信息管理系统中的学生导师）第一，学生第二的成果（论文、专利）只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认作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篇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。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6.立项经费：工科一般不超过8000元/项；非工科一般不超过4000元/项。</w:t>
      </w:r>
    </w:p>
    <w:p>
      <w:pPr>
        <w:pStyle w:val="8"/>
        <w:widowControl/>
        <w:numPr>
          <w:numId w:val="0"/>
        </w:numPr>
        <w:spacing w:line="560" w:lineRule="atLeast"/>
        <w:ind w:left="0" w:leftChars="0"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开放基金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项目组成员均有担任研究生创新中心助管工作的责任和义务。</w:t>
      </w:r>
    </w:p>
    <w:p>
      <w:pPr>
        <w:pStyle w:val="8"/>
        <w:widowControl/>
        <w:numPr>
          <w:numId w:val="0"/>
        </w:numPr>
        <w:spacing w:line="560" w:lineRule="atLeast"/>
        <w:jc w:val="left"/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eastAsia="zh-CN"/>
        </w:rPr>
        <w:t>三、申报流程</w:t>
      </w:r>
    </w:p>
    <w:p>
      <w:pPr>
        <w:widowControl/>
        <w:spacing w:line="560" w:lineRule="atLeast"/>
        <w:jc w:val="left"/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  <w:t>1.4月15日-26日：项目负责人网上申报，指导教师网上审核。</w:t>
      </w:r>
    </w:p>
    <w:p>
      <w:pPr>
        <w:widowControl/>
        <w:spacing w:line="560" w:lineRule="atLeast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b w:val="0"/>
          <w:bCs w:val="0"/>
          <w:color w:val="3F3F3F"/>
          <w:kern w:val="0"/>
          <w:sz w:val="28"/>
          <w:szCs w:val="28"/>
          <w:lang w:val="en-US" w:eastAsia="zh-CN"/>
        </w:rPr>
        <w:t xml:space="preserve">    项目负责人登陆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研究生创新项目管理系统（网址：http://ded.nuaa.edu.cn/yjscxjj/），在线填写申请表，提交后请指导教师网上审核并填写审核意见。逾期将关闭网上申报功能，不再接受申报。</w:t>
      </w:r>
    </w:p>
    <w:p>
      <w:pPr>
        <w:widowControl/>
        <w:spacing w:line="560" w:lineRule="atLeast"/>
        <w:jc w:val="left"/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  <w:t>2.4月27日：院（部）工作组网上审核，汇总申报项目信息。</w:t>
      </w:r>
    </w:p>
    <w:p>
      <w:pPr>
        <w:widowControl/>
        <w:numPr>
          <w:numId w:val="0"/>
        </w:numPr>
        <w:spacing w:line="560" w:lineRule="atLeast"/>
        <w:ind w:firstLine="560" w:firstLineChars="200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院（部）工作组登陆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研究生创新项目管理系统，审核本单位的申报项目是否满足申报要求。</w:t>
      </w: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  <w:t>3.4月28日-5月6日：院（部）工作组组织专家进行项目评审，完成立项工作。</w:t>
      </w: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  <w:lang w:val="en-US" w:eastAsia="zh-CN"/>
        </w:rPr>
        <w:t>4.5月7日-8日：院（部）工作组填写《南京航空航天大学2015年研究生创新基地（开放基金）立项项目汇总表》（附件2）盖章后提交研究生院培养处，电子表格发送至lisha@nuaa.edu.cn。</w:t>
      </w:r>
      <w:r>
        <w:rPr>
          <w:rFonts w:hint="eastAsia" w:ascii="仿宋_GB2312" w:hAnsi="Arial" w:eastAsia="仿宋_GB2312" w:cs="Arial"/>
          <w:b w:val="0"/>
          <w:bCs w:val="0"/>
          <w:color w:val="3F3F3F"/>
          <w:kern w:val="0"/>
          <w:sz w:val="28"/>
          <w:szCs w:val="28"/>
          <w:lang w:val="en-US" w:eastAsia="zh-CN"/>
        </w:rPr>
        <w:t>注：项目编号按kfjj2015+学院（两位）+项目序号（两位）设定，如一院的项目编号为kfjj20150101，以此类推。</w:t>
      </w: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>本次工作联系人：李莎   电话：84892491</w:t>
      </w: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</w:pPr>
    </w:p>
    <w:p>
      <w:pPr>
        <w:widowControl/>
        <w:spacing w:line="560" w:lineRule="atLeast"/>
        <w:ind w:firstLine="560"/>
        <w:jc w:val="left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附件1：南京航空航天大学研究生创新基地（实验室）开放基金管理办法</w:t>
      </w:r>
    </w:p>
    <w:p>
      <w:pPr>
        <w:widowControl/>
        <w:spacing w:line="560" w:lineRule="atLeast"/>
        <w:ind w:firstLine="560"/>
        <w:jc w:val="left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 xml:space="preserve">附件2：南京航空航天大学2015年研究生创新基地（开放基金）立项项目汇总表 </w:t>
      </w:r>
    </w:p>
    <w:p>
      <w:pPr>
        <w:widowControl/>
        <w:spacing w:line="560" w:lineRule="atLeast"/>
        <w:ind w:firstLine="560"/>
        <w:jc w:val="left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 xml:space="preserve">                      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研究生院培养处</w:t>
      </w:r>
    </w:p>
    <w:p>
      <w:pPr>
        <w:widowControl/>
        <w:spacing w:line="560" w:lineRule="atLeast"/>
        <w:ind w:firstLine="560"/>
        <w:jc w:val="center"/>
        <w:rPr>
          <w:rFonts w:ascii="Arial" w:hAnsi="Arial" w:eastAsia="宋体" w:cs="Arial"/>
          <w:color w:val="3F3F3F"/>
          <w:kern w:val="0"/>
          <w:sz w:val="19"/>
          <w:szCs w:val="19"/>
        </w:rPr>
      </w:pP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 xml:space="preserve">              二○一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  <w:lang w:eastAsia="zh-CN"/>
        </w:rPr>
        <w:t>十三</w:t>
      </w:r>
      <w:r>
        <w:rPr>
          <w:rFonts w:hint="eastAsia" w:ascii="仿宋_GB2312" w:hAnsi="Arial" w:eastAsia="仿宋_GB2312" w:cs="Arial"/>
          <w:color w:val="3F3F3F"/>
          <w:kern w:val="0"/>
          <w:sz w:val="28"/>
          <w:szCs w:val="28"/>
        </w:rPr>
        <w:t>日</w:t>
      </w:r>
      <w:r>
        <w:rPr>
          <w:rFonts w:ascii="Arial" w:hAnsi="Arial" w:eastAsia="宋体" w:cs="Arial"/>
          <w:color w:val="3F3F3F"/>
          <w:kern w:val="0"/>
          <w:sz w:val="19"/>
          <w:szCs w:val="19"/>
        </w:rPr>
        <w:t xml:space="preserve"> </w:t>
      </w:r>
    </w:p>
    <w:sectPr>
      <w:pgSz w:w="11906" w:h="16838"/>
      <w:pgMar w:top="1157" w:right="896" w:bottom="1157" w:left="896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8539386">
    <w:nsid w:val="5525C7FA"/>
    <w:multiLevelType w:val="singleLevel"/>
    <w:tmpl w:val="5525C7FA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285393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52AD"/>
    <w:rsid w:val="000E53B0"/>
    <w:rsid w:val="00154928"/>
    <w:rsid w:val="003E564D"/>
    <w:rsid w:val="006A52AD"/>
    <w:rsid w:val="0073132E"/>
    <w:rsid w:val="0076261F"/>
    <w:rsid w:val="009A02C4"/>
    <w:rsid w:val="009F63B4"/>
    <w:rsid w:val="00A92E92"/>
    <w:rsid w:val="00FC27CF"/>
    <w:rsid w:val="212F207F"/>
    <w:rsid w:val="2550160E"/>
    <w:rsid w:val="285D436B"/>
    <w:rsid w:val="3CA44A0C"/>
    <w:rsid w:val="57B4747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3F3F3F"/>
      <w:sz w:val="16"/>
      <w:szCs w:val="16"/>
      <w:u w:val="none"/>
    </w:rPr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854</Characters>
  <Lines>7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2014-02-24T07:00:00Z</dcterms:created>
  <dc:creator>GS</dc:creator>
  <cp:lastModifiedBy>Administrator</cp:lastModifiedBy>
  <cp:lastPrinted>2015-04-09T01:32:00Z</cp:lastPrinted>
  <dcterms:modified xsi:type="dcterms:W3CDTF">2015-04-14T02:09:01Z</dcterms:modified>
  <dc:title>关于2015年研究生创新基地(实验室)开放基金申报的通知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